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2" w:rsidRDefault="00FF55F2" w:rsidP="00FF55F2"/>
    <w:p w:rsidR="00FF55F2" w:rsidRDefault="00FF55F2" w:rsidP="00FF55F2">
      <w:pPr>
        <w:pStyle w:val="a7"/>
      </w:pPr>
      <w:proofErr w:type="spellStart"/>
      <w:r>
        <w:t>Минобрнауки</w:t>
      </w:r>
      <w:proofErr w:type="spellEnd"/>
      <w:r>
        <w:t xml:space="preserve"> России</w:t>
      </w:r>
    </w:p>
    <w:p w:rsidR="00FF55F2" w:rsidRDefault="00FF55F2" w:rsidP="00FF55F2">
      <w:pPr>
        <w:pStyle w:val="a7"/>
      </w:pPr>
      <w:proofErr w:type="gramStart"/>
      <w:r>
        <w:t>Российская</w:t>
      </w:r>
      <w:proofErr w:type="gramEnd"/>
      <w:r>
        <w:t xml:space="preserve"> академии образования</w:t>
      </w:r>
    </w:p>
    <w:p w:rsidR="00FF55F2" w:rsidRDefault="00FF55F2" w:rsidP="00FF55F2">
      <w:pPr>
        <w:pStyle w:val="a7"/>
      </w:pPr>
      <w:r>
        <w:t>Волгоградский государственный социально-педагогический университет</w:t>
      </w:r>
    </w:p>
    <w:p w:rsidR="00FF55F2" w:rsidRDefault="00FF55F2" w:rsidP="00FF55F2">
      <w:pPr>
        <w:pStyle w:val="a7"/>
      </w:pPr>
      <w:r>
        <w:t>Волгоградский научно-образовательный центр РАО</w:t>
      </w:r>
    </w:p>
    <w:p w:rsidR="00FF55F2" w:rsidRDefault="00FF55F2" w:rsidP="00FF55F2"/>
    <w:p w:rsidR="00FF55F2" w:rsidRDefault="00FF55F2" w:rsidP="00FF55F2">
      <w:pPr>
        <w:pStyle w:val="a5"/>
      </w:pPr>
      <w:r>
        <w:rPr>
          <w:lang/>
        </w:rPr>
        <w:t>Международная научная конференция и школа молодых ученых</w:t>
      </w:r>
    </w:p>
    <w:p w:rsidR="00FF55F2" w:rsidRDefault="00FF55F2" w:rsidP="00FF55F2">
      <w:pPr>
        <w:pStyle w:val="1"/>
        <w:rPr>
          <w:rFonts w:eastAsia="Times New Roman"/>
        </w:rPr>
      </w:pPr>
      <w:r>
        <w:rPr>
          <w:rFonts w:eastAsia="Times New Roman"/>
          <w:lang/>
        </w:rPr>
        <w:t>«Педагогика в пространстве социальных и антропологических наук»</w:t>
      </w:r>
    </w:p>
    <w:p w:rsidR="00FF55F2" w:rsidRDefault="00FF55F2" w:rsidP="00FF55F2">
      <w:pPr>
        <w:pStyle w:val="a5"/>
      </w:pPr>
      <w:r>
        <w:rPr>
          <w:lang/>
        </w:rPr>
        <w:t xml:space="preserve">Российская Федерация, г. Волгоград, </w:t>
      </w:r>
      <w:r>
        <w:rPr>
          <w:lang/>
        </w:rPr>
        <w:br/>
        <w:t>28 сентября – 4 октября 2015 г.</w:t>
      </w:r>
    </w:p>
    <w:p w:rsidR="00FF55F2" w:rsidRDefault="00FF55F2" w:rsidP="00FF55F2"/>
    <w:p w:rsidR="00FF55F2" w:rsidRDefault="00FF55F2" w:rsidP="00FF55F2">
      <w:r>
        <w:t>Волгоградский научно-образовательный центр Российской академии образования (ВНОЦ РАО) проводит Международную научную конференцию и школу молодых ученых по теме «Педагогика в пространстве социальных и антропологических наук».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 xml:space="preserve">На конференции планируется обсуждение следующих проблем: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F55F2" w:rsidRDefault="00FF55F2" w:rsidP="00FF55F2">
      <w:pPr>
        <w:pStyle w:val="a"/>
      </w:pPr>
      <w:r>
        <w:t>Педагогика в системе наук о человеке. Состояние и перспективы современной педагогической антропологии.</w:t>
      </w:r>
    </w:p>
    <w:p w:rsidR="00FF55F2" w:rsidRDefault="00FF55F2" w:rsidP="00FF55F2">
      <w:pPr>
        <w:pStyle w:val="a"/>
      </w:pPr>
      <w:r>
        <w:t>Педагогические практики в различных социальных сферах.</w:t>
      </w:r>
    </w:p>
    <w:p w:rsidR="00FF55F2" w:rsidRDefault="00FF55F2" w:rsidP="00FF55F2">
      <w:pPr>
        <w:pStyle w:val="a"/>
      </w:pPr>
      <w:r>
        <w:t xml:space="preserve">Методология комплексных исследований в области образования. </w:t>
      </w:r>
    </w:p>
    <w:p w:rsidR="00FF55F2" w:rsidRDefault="00FF55F2" w:rsidP="00FF55F2">
      <w:pPr>
        <w:pStyle w:val="a"/>
      </w:pPr>
      <w:r>
        <w:t>Эффективность педагогических исследований, обеспечение их прогностического и инновационного потенциала.</w:t>
      </w:r>
    </w:p>
    <w:p w:rsidR="00FF55F2" w:rsidRDefault="00FF55F2" w:rsidP="00FF55F2">
      <w:pPr>
        <w:pStyle w:val="a"/>
      </w:pPr>
      <w:r>
        <w:t>Функции педагогического университета в кадровом и научно-методическом обеспечении образовательных систем региона.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>Выступающие на конференции и ведущие школы молодых ученых:</w:t>
      </w:r>
    </w:p>
    <w:p w:rsidR="00FF55F2" w:rsidRDefault="00FF55F2" w:rsidP="00FF55F2">
      <w:r>
        <w:t xml:space="preserve">В конференции и школе молодых ученых принимают участие: академик-секретарь Отделения философии образования и теоретической педагогики, академик РАО, д-р </w:t>
      </w:r>
      <w:proofErr w:type="spellStart"/>
      <w:r>
        <w:t>экон</w:t>
      </w:r>
      <w:proofErr w:type="spellEnd"/>
      <w:r>
        <w:t xml:space="preserve">. наук, проф. </w:t>
      </w:r>
      <w:r>
        <w:rPr>
          <w:i/>
          <w:iCs/>
        </w:rPr>
        <w:t>М.Л. Левицкий</w:t>
      </w:r>
      <w:r>
        <w:t>; директор Института инновационной деятельности в образовании, академик РАО, д-р псих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аук, проф. </w:t>
      </w:r>
      <w:r>
        <w:rPr>
          <w:i/>
          <w:iCs/>
        </w:rPr>
        <w:t>В.С. Лазарев</w:t>
      </w:r>
      <w:r>
        <w:t xml:space="preserve">; член Президиума РАО, ректор ВГСПУ, директор ВНОЦ РАО, чл.-корр. РАО, д-р пед. наук, проф. </w:t>
      </w:r>
      <w:r>
        <w:rPr>
          <w:i/>
          <w:iCs/>
        </w:rPr>
        <w:t>Н.К. Сергеев</w:t>
      </w:r>
      <w:r>
        <w:t xml:space="preserve">; научный руководитель ВНОЦ РАО, чл.-корр. РАО, д-р пед. наук, проф. </w:t>
      </w:r>
      <w:r>
        <w:rPr>
          <w:i/>
          <w:iCs/>
        </w:rPr>
        <w:t>В.В. Сериков</w:t>
      </w:r>
      <w:r>
        <w:t xml:space="preserve">; зам. директора ВНОЦ РАО, д-р пед. наук, проф. </w:t>
      </w:r>
      <w:r>
        <w:rPr>
          <w:i/>
          <w:iCs/>
        </w:rPr>
        <w:t xml:space="preserve">Н.М. </w:t>
      </w:r>
      <w:proofErr w:type="spellStart"/>
      <w:r>
        <w:rPr>
          <w:i/>
          <w:iCs/>
        </w:rPr>
        <w:t>Борытко</w:t>
      </w:r>
      <w:proofErr w:type="spellEnd"/>
      <w:r>
        <w:t xml:space="preserve">; д-р пед. наук, проф. </w:t>
      </w:r>
      <w:r>
        <w:rPr>
          <w:i/>
          <w:iCs/>
        </w:rPr>
        <w:t>А.Г. </w:t>
      </w:r>
      <w:proofErr w:type="spellStart"/>
      <w:r>
        <w:rPr>
          <w:i/>
          <w:iCs/>
        </w:rPr>
        <w:t>Бермус</w:t>
      </w:r>
      <w:proofErr w:type="spellEnd"/>
      <w:r>
        <w:t xml:space="preserve">; д-р пед. наук, проф. </w:t>
      </w:r>
      <w:r>
        <w:rPr>
          <w:i/>
          <w:iCs/>
        </w:rPr>
        <w:t>С.В. Куликова</w:t>
      </w:r>
      <w:r>
        <w:t xml:space="preserve"> и др. известные отечественные и зарубежные ученые.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 xml:space="preserve">В программе конференции и школы молодых ученых </w:t>
      </w:r>
    </w:p>
    <w:p w:rsidR="00FF55F2" w:rsidRDefault="00FF55F2" w:rsidP="00FF55F2">
      <w:r>
        <w:rPr>
          <w:i/>
          <w:iCs/>
        </w:rPr>
        <w:t>28 сентября</w:t>
      </w:r>
      <w:r>
        <w:t>: день заезда.</w:t>
      </w:r>
    </w:p>
    <w:p w:rsidR="00FF55F2" w:rsidRDefault="00FF55F2" w:rsidP="00FF55F2">
      <w:r>
        <w:rPr>
          <w:i/>
          <w:iCs/>
        </w:rPr>
        <w:lastRenderedPageBreak/>
        <w:t>29-30 сентября</w:t>
      </w:r>
      <w:r>
        <w:t xml:space="preserve"> (на базе Волгоградского государственного социально-педагогического университета): </w:t>
      </w:r>
      <w:proofErr w:type="gramStart"/>
      <w:r>
        <w:t>пленарное</w:t>
      </w:r>
      <w:proofErr w:type="gramEnd"/>
      <w:r>
        <w:t xml:space="preserve"> и секционные заседания, дискуссионные площадки по различным проблемам, мастер-классы, экскурсии по Волгограду и в музей-панораму «Сталинградская битва».</w:t>
      </w:r>
    </w:p>
    <w:p w:rsidR="00FF55F2" w:rsidRDefault="00FF55F2" w:rsidP="00FF55F2">
      <w:r>
        <w:rPr>
          <w:i/>
          <w:iCs/>
        </w:rPr>
        <w:t>1 – 3 октября</w:t>
      </w:r>
      <w:r>
        <w:t xml:space="preserve"> (на загородной базе учебно-оздоровительного комплекса ВГСПУ «Марафон», 25 мин. езды от центра Волгограда): мастер-классы, дискуссии, консультации, вечерние лекции для школы молодых ученых, экскурсия в музей «Старая </w:t>
      </w:r>
      <w:proofErr w:type="spellStart"/>
      <w:r>
        <w:t>Сарепта</w:t>
      </w:r>
      <w:proofErr w:type="spellEnd"/>
      <w:r>
        <w:t xml:space="preserve">». </w:t>
      </w:r>
    </w:p>
    <w:p w:rsidR="00FF55F2" w:rsidRDefault="00FF55F2" w:rsidP="00FF55F2">
      <w:r>
        <w:rPr>
          <w:i/>
          <w:iCs/>
        </w:rPr>
        <w:t>4 октября</w:t>
      </w:r>
      <w:r>
        <w:t>: отъезд.</w:t>
      </w:r>
    </w:p>
    <w:p w:rsidR="00FF55F2" w:rsidRDefault="00FF55F2" w:rsidP="00FF55F2">
      <w:r>
        <w:t>Участникам школы молодых ученых выдается удостоверение о повышении квалификации (очно-заочная форма – 72 час.) на факультете повышения квалификации и сертификат участника конференции с выходными данными.</w:t>
      </w:r>
    </w:p>
    <w:p w:rsidR="00FF55F2" w:rsidRDefault="00FF55F2" w:rsidP="00FF55F2">
      <w:r>
        <w:t xml:space="preserve">Другим участникам конференции (по желанию) – удостоверение о повышении квалификации (очно-заочная форма – 36 час.) и сертификат участника конференции с выходными данными публикации. </w:t>
      </w:r>
    </w:p>
    <w:p w:rsidR="00FF55F2" w:rsidRDefault="00FF55F2" w:rsidP="00FF55F2">
      <w:r>
        <w:t xml:space="preserve">Информацию о ФППК ВГСПУ см. </w:t>
      </w:r>
      <w:hyperlink r:id="rId5" w:history="1">
        <w:r>
          <w:rPr>
            <w:rStyle w:val="a4"/>
          </w:rPr>
          <w:t>http://vgpu.org/fpk</w:t>
        </w:r>
      </w:hyperlink>
      <w:r>
        <w:t>. Участие в повышении квалификации оформляется договором между физическим лицом или организацией и ВГСПУ. В заявке указывается плательщик. Оргкомитет в течение трех дней после получения заявки высылает участнику форму договора с инструкцией по ее заполнению.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>Публикация материалов конференции</w:t>
      </w:r>
    </w:p>
    <w:p w:rsidR="00FF55F2" w:rsidRDefault="00FF55F2" w:rsidP="00FF55F2">
      <w:r>
        <w:t xml:space="preserve">Материалы конференции публикуются в </w:t>
      </w:r>
      <w:proofErr w:type="spellStart"/>
      <w:proofErr w:type="gramStart"/>
      <w:r>
        <w:t>интернет-журнале</w:t>
      </w:r>
      <w:proofErr w:type="spellEnd"/>
      <w:proofErr w:type="gramEnd"/>
      <w:r>
        <w:t>, «Грани познания» (http://www.grani.vspu.ru), входящем в РИНЦ. Для докторов педагогических наук публикация бесплатная.</w:t>
      </w:r>
    </w:p>
    <w:p w:rsidR="00FF55F2" w:rsidRDefault="00FF55F2" w:rsidP="00FF55F2">
      <w:r>
        <w:t>К участию в конференции приглашаются ученые, преподаватели, докторанты, аспиранты, студенты учреждений ВПО и СПО, ведущие научные исследования в сфере образования. Форма проведения школы молодых ученых – очно-заочная. Рабочие языки конференции – русский и английский.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>Оргкомитет конференции</w:t>
      </w:r>
    </w:p>
    <w:p w:rsidR="00FF55F2" w:rsidRDefault="00FF55F2" w:rsidP="00FF55F2">
      <w:r>
        <w:rPr>
          <w:i/>
          <w:iCs/>
        </w:rPr>
        <w:t>Председатель</w:t>
      </w:r>
      <w:r>
        <w:t xml:space="preserve"> – Сергеев Николай Константинович, ректор ВГСПУ, член Президиума РАО, директор ВНОЦ РАО, чл.-корр. РАО, д-р пед. наук, профессор.</w:t>
      </w:r>
    </w:p>
    <w:p w:rsidR="00FF55F2" w:rsidRDefault="00FF55F2" w:rsidP="00FF55F2">
      <w:pPr>
        <w:spacing w:before="90"/>
      </w:pPr>
      <w:r>
        <w:rPr>
          <w:i/>
          <w:iCs/>
        </w:rPr>
        <w:t>Члены оргкомитета</w:t>
      </w:r>
      <w:r>
        <w:t>:</w:t>
      </w:r>
    </w:p>
    <w:p w:rsidR="00FF55F2" w:rsidRDefault="00FF55F2" w:rsidP="00FF55F2">
      <w:r>
        <w:t xml:space="preserve">Левицкий Михаил Львович – академик-секретарь отделения философии образования и теоретической педагогики, д-р </w:t>
      </w:r>
      <w:proofErr w:type="spellStart"/>
      <w:r>
        <w:t>экон</w:t>
      </w:r>
      <w:proofErr w:type="spellEnd"/>
      <w:r>
        <w:t xml:space="preserve">. наук, профессор; </w:t>
      </w:r>
    </w:p>
    <w:p w:rsidR="00FF55F2" w:rsidRDefault="00FF55F2" w:rsidP="00FF55F2">
      <w:r>
        <w:t>Сериков Владислав Владиславович – научный руководитель ВНОЦ РАО, чл.-корр. РАО, д-р пед. наук, профессор;</w:t>
      </w:r>
    </w:p>
    <w:p w:rsidR="00FF55F2" w:rsidRDefault="00FF55F2" w:rsidP="00FF55F2">
      <w:r>
        <w:t>Зайцев Владимир Васильевич – проректор по научной работе ВГСПУ, д-р пед. наук, профессор;</w:t>
      </w:r>
    </w:p>
    <w:p w:rsidR="00FF55F2" w:rsidRDefault="00FF55F2" w:rsidP="00FF55F2">
      <w:proofErr w:type="spellStart"/>
      <w:r>
        <w:t>Борытко</w:t>
      </w:r>
      <w:proofErr w:type="spellEnd"/>
      <w:r>
        <w:t xml:space="preserve"> Николай Михайлович – зам. директора ВНОЦ РАО, д-р пед. наук, профессор;</w:t>
      </w:r>
    </w:p>
    <w:p w:rsidR="00FF55F2" w:rsidRDefault="00FF55F2" w:rsidP="00FF55F2">
      <w:r>
        <w:lastRenderedPageBreak/>
        <w:t>Власюк Ирина Вячеславовна – ученый секретарь ВНОЦ РАО, д-р пед. наук, профессор;</w:t>
      </w:r>
    </w:p>
    <w:p w:rsidR="00FF55F2" w:rsidRDefault="00FF55F2" w:rsidP="00FF55F2">
      <w:r>
        <w:t>Куликова Светлана Вячеславовна – зам. зав. кафедрой педагогики ВГСПУ, д-р пед. наук, профессор.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>Контактная информация</w:t>
      </w:r>
    </w:p>
    <w:p w:rsidR="00FF55F2" w:rsidRDefault="00FF55F2" w:rsidP="00FF55F2">
      <w:r>
        <w:t xml:space="preserve">Подробная информация о конференции, объявления оргкомитета, необходимые документы доступны в сети Интернет на официальном web-сайте конференции: </w:t>
      </w:r>
      <w:hyperlink r:id="rId6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  <w:lang w:val="en-US"/>
          </w:rPr>
          <w:t>vgpu</w:t>
        </w:r>
        <w:proofErr w:type="spellEnd"/>
        <w:r>
          <w:rPr>
            <w:rStyle w:val="a4"/>
          </w:rPr>
          <w:t>.</w:t>
        </w:r>
        <w:r>
          <w:rPr>
            <w:rStyle w:val="a4"/>
            <w:lang w:val="en-US"/>
          </w:rPr>
          <w:t>org</w:t>
        </w:r>
        <w:r>
          <w:rPr>
            <w:rStyle w:val="a4"/>
          </w:rPr>
          <w:t>/</w:t>
        </w:r>
        <w:r>
          <w:rPr>
            <w:rStyle w:val="a4"/>
            <w:lang w:val="en-US"/>
          </w:rPr>
          <w:t>node</w:t>
        </w:r>
        <w:r>
          <w:rPr>
            <w:rStyle w:val="a4"/>
          </w:rPr>
          <w:t>/8166</w:t>
        </w:r>
      </w:hyperlink>
      <w:r w:rsidRPr="00FF55F2">
        <w:t xml:space="preserve"> </w:t>
      </w:r>
    </w:p>
    <w:p w:rsidR="00FF55F2" w:rsidRDefault="00FF55F2" w:rsidP="00FF55F2">
      <w:pPr>
        <w:rPr>
          <w:lang w:val="en-US"/>
        </w:rPr>
      </w:pPr>
      <w:proofErr w:type="gramStart"/>
      <w:r>
        <w:rPr>
          <w:i/>
          <w:iCs/>
        </w:rPr>
        <w:t>Е</w:t>
      </w:r>
      <w:proofErr w:type="gramEnd"/>
      <w:r>
        <w:rPr>
          <w:i/>
          <w:iCs/>
          <w:lang w:val="en-US"/>
        </w:rPr>
        <w:t>-mail:</w:t>
      </w:r>
      <w:r>
        <w:rPr>
          <w:lang w:val="en-US"/>
        </w:rPr>
        <w:t xml:space="preserve"> </w:t>
      </w:r>
      <w:hyperlink r:id="rId7" w:history="1">
        <w:r>
          <w:rPr>
            <w:rStyle w:val="a4"/>
            <w:lang w:val="en-US"/>
          </w:rPr>
          <w:t>konf.2015.vnocrao@mail.ru</w:t>
        </w:r>
      </w:hyperlink>
      <w:r w:rsidRPr="00FF55F2">
        <w:rPr>
          <w:lang w:val="en-US"/>
        </w:rPr>
        <w:t xml:space="preserve"> </w:t>
      </w:r>
    </w:p>
    <w:p w:rsidR="00FF55F2" w:rsidRDefault="00FF55F2" w:rsidP="00FF55F2">
      <w:r>
        <w:rPr>
          <w:i/>
          <w:iCs/>
        </w:rPr>
        <w:t>Телефон</w:t>
      </w:r>
      <w:r>
        <w:t>: +7 (8442) 60-23-09 (Семикина Наталья Викторовна, с 11:00 до 17:00 по московскому времени); +7 (8442) 60-28-19 (Власюк Ирина Вячеславовна, ученый секретарь ВНОЦ РАО).</w:t>
      </w:r>
    </w:p>
    <w:p w:rsidR="00FF55F2" w:rsidRDefault="00FF55F2" w:rsidP="00FF55F2">
      <w:r>
        <w:rPr>
          <w:i/>
          <w:iCs/>
        </w:rPr>
        <w:t>Почтовый адрес:</w:t>
      </w:r>
      <w:r>
        <w:t xml:space="preserve"> ВНОЦ РАО (ауд. 2-23), пр. Ленина 27, Волгоград, 400066, Россия.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>Условия участия</w:t>
      </w:r>
    </w:p>
    <w:p w:rsidR="00FF55F2" w:rsidRDefault="00FF55F2" w:rsidP="00FF55F2">
      <w:r>
        <w:t xml:space="preserve">Для участия в конференции и/или школе молодых ученых необходимо до 5 июля 2015 г. направить на электронный адрес </w:t>
      </w:r>
      <w:hyperlink r:id="rId8" w:history="1">
        <w:r>
          <w:rPr>
            <w:rStyle w:val="a4"/>
            <w:lang w:val="en-US"/>
          </w:rPr>
          <w:t>konf</w:t>
        </w:r>
        <w:r>
          <w:rPr>
            <w:rStyle w:val="a4"/>
          </w:rPr>
          <w:t>.2015.</w:t>
        </w:r>
        <w:r>
          <w:rPr>
            <w:rStyle w:val="a4"/>
            <w:lang w:val="en-US"/>
          </w:rPr>
          <w:t>vnocrao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следующие материалы:</w:t>
      </w:r>
    </w:p>
    <w:p w:rsidR="00FF55F2" w:rsidRDefault="00FF55F2" w:rsidP="00FF55F2">
      <w:r>
        <w:t>1.Те</w:t>
      </w:r>
      <w:proofErr w:type="gramStart"/>
      <w:r>
        <w:t>кст ст</w:t>
      </w:r>
      <w:proofErr w:type="gramEnd"/>
      <w:r>
        <w:t xml:space="preserve">атьи, аннотацию, ключевые слова. </w:t>
      </w:r>
    </w:p>
    <w:p w:rsidR="00FF55F2" w:rsidRDefault="00FF55F2" w:rsidP="00FF55F2">
      <w:r>
        <w:t>2. Резюме (информация об авторе в свободной форме, до 200 символов), которое может быть размещено на сайте журнала.</w:t>
      </w:r>
    </w:p>
    <w:p w:rsidR="00FF55F2" w:rsidRDefault="00FF55F2" w:rsidP="00FF55F2">
      <w:r>
        <w:t xml:space="preserve">3. Фотографию автора (разрешение 300 </w:t>
      </w:r>
      <w:proofErr w:type="spellStart"/>
      <w:r>
        <w:t>dpi</w:t>
      </w:r>
      <w:proofErr w:type="spellEnd"/>
      <w:r>
        <w:t>, 5 мегапикселей), в соответствии с требованиями для публикации в электронном журнале «Грани Познания» (</w:t>
      </w:r>
      <w:proofErr w:type="gramStart"/>
      <w:r>
        <w:t>см</w:t>
      </w:r>
      <w:proofErr w:type="gramEnd"/>
      <w:r>
        <w:t xml:space="preserve">.: </w:t>
      </w:r>
      <w:hyperlink r:id="rId9" w:history="1">
        <w:r>
          <w:rPr>
            <w:rStyle w:val="a4"/>
          </w:rPr>
          <w:t>http://grani.vspu.ru/page/treb</w:t>
        </w:r>
      </w:hyperlink>
      <w:r>
        <w:t>).</w:t>
      </w:r>
    </w:p>
    <w:p w:rsidR="00FF55F2" w:rsidRDefault="00FF55F2" w:rsidP="00FF55F2">
      <w:r>
        <w:t>4. Заявку на участие в конференции или в конференции и школе молодого ученого (</w:t>
      </w:r>
      <w:proofErr w:type="gramStart"/>
      <w:r>
        <w:t>см</w:t>
      </w:r>
      <w:proofErr w:type="gramEnd"/>
      <w:r>
        <w:t>. приложение к письму).</w:t>
      </w:r>
    </w:p>
    <w:p w:rsidR="00FF55F2" w:rsidRDefault="00FF55F2" w:rsidP="00FF55F2">
      <w:r>
        <w:t xml:space="preserve">5. Скан-копию (или разборчивую цифровую фотографию) квитанции об уплате </w:t>
      </w:r>
      <w:proofErr w:type="spellStart"/>
      <w:r>
        <w:t>оргвзноса</w:t>
      </w:r>
      <w:proofErr w:type="spellEnd"/>
      <w:r>
        <w:t xml:space="preserve"> (см. размер </w:t>
      </w:r>
      <w:proofErr w:type="spellStart"/>
      <w:r>
        <w:t>оргвзноса</w:t>
      </w:r>
      <w:proofErr w:type="spellEnd"/>
      <w:r>
        <w:t xml:space="preserve"> в приложенной к письму форме заявки).</w:t>
      </w:r>
    </w:p>
    <w:p w:rsidR="00FF55F2" w:rsidRDefault="00FF55F2" w:rsidP="00FF55F2">
      <w:pPr>
        <w:rPr>
          <w:i/>
          <w:iCs/>
        </w:rPr>
      </w:pPr>
      <w:r>
        <w:t xml:space="preserve">Все документы представляются </w:t>
      </w:r>
      <w:r>
        <w:rPr>
          <w:i/>
          <w:iCs/>
        </w:rPr>
        <w:t>одновременно в едином архивном файле</w:t>
      </w:r>
      <w:r>
        <w:t xml:space="preserve"> формата RAR или ZIP. В </w:t>
      </w:r>
      <w:proofErr w:type="gramStart"/>
      <w:r>
        <w:t>качестве</w:t>
      </w:r>
      <w:proofErr w:type="gramEnd"/>
      <w:r>
        <w:t xml:space="preserve"> имени файла-архива указывается фамилия первого автора кириллицей, например, «09Иванов_ПС.</w:t>
      </w:r>
      <w:proofErr w:type="spellStart"/>
      <w:r>
        <w:rPr>
          <w:lang w:val="en-US"/>
        </w:rPr>
        <w:t>rar</w:t>
      </w:r>
      <w:proofErr w:type="spellEnd"/>
      <w:r>
        <w:t>». Файлы с материалами, соответственно, называются: 09Иванов_ПС_статья.</w:t>
      </w:r>
      <w:r>
        <w:rPr>
          <w:lang w:val="en-US"/>
        </w:rPr>
        <w:t>doc</w:t>
      </w:r>
      <w:r>
        <w:t>, 09Иванов_ПС_заявка.</w:t>
      </w:r>
      <w:r>
        <w:rPr>
          <w:lang w:val="en-US"/>
        </w:rPr>
        <w:t>doc</w:t>
      </w:r>
      <w:r>
        <w:t xml:space="preserve"> и т.п. При повторной отправке материалов в теме письма следует сделать пометку «повторная отправка без изменений» либо «материалы с исправлениями». </w:t>
      </w:r>
      <w:r>
        <w:rPr>
          <w:i/>
          <w:iCs/>
        </w:rPr>
        <w:t xml:space="preserve">От </w:t>
      </w:r>
      <w:proofErr w:type="gramStart"/>
      <w:r>
        <w:rPr>
          <w:i/>
          <w:iCs/>
        </w:rPr>
        <w:t>одного автора допускается</w:t>
      </w:r>
      <w:proofErr w:type="gramEnd"/>
      <w:r>
        <w:rPr>
          <w:i/>
          <w:iCs/>
        </w:rPr>
        <w:t xml:space="preserve"> не более двух публикаций. Количество соавторов публикации не должно превышать трех.</w:t>
      </w:r>
    </w:p>
    <w:p w:rsidR="00FF55F2" w:rsidRDefault="00FF55F2" w:rsidP="00FF55F2">
      <w:r>
        <w:t xml:space="preserve">В течение трех рабочих дней после получения заявки оргкомитет электронной почтой направляет автору уведомление о получении материалов с результатами их рассмотрения, договор на курсы повышения квалификации и договор на оплату </w:t>
      </w:r>
      <w:proofErr w:type="spellStart"/>
      <w:r>
        <w:t>оргвзноса</w:t>
      </w:r>
      <w:proofErr w:type="spellEnd"/>
      <w:r>
        <w:t xml:space="preserve"> (если плательщиком является организация). </w:t>
      </w:r>
    </w:p>
    <w:p w:rsidR="00FF55F2" w:rsidRDefault="00FF55F2" w:rsidP="00FF55F2">
      <w:r>
        <w:t xml:space="preserve">К публикации принимаются только материалы, соответствующие тематике конференции и правилам оформления, поданные в установленном настоящим письмом порядке. В </w:t>
      </w:r>
      <w:proofErr w:type="gramStart"/>
      <w:r>
        <w:t>случае</w:t>
      </w:r>
      <w:proofErr w:type="gramEnd"/>
      <w:r>
        <w:t xml:space="preserve"> отклонения материалов автору </w:t>
      </w:r>
      <w:r>
        <w:lastRenderedPageBreak/>
        <w:t xml:space="preserve">возвращается уплаченный </w:t>
      </w:r>
      <w:proofErr w:type="spellStart"/>
      <w:r>
        <w:t>оргвзнос</w:t>
      </w:r>
      <w:proofErr w:type="spellEnd"/>
      <w:r>
        <w:t xml:space="preserve"> за вычетом стоимости перевода (перечисление производится на адрес, указанный в заявке).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>Оплата участия</w:t>
      </w:r>
    </w:p>
    <w:p w:rsidR="00FF55F2" w:rsidRDefault="00FF55F2" w:rsidP="00FF55F2">
      <w:r>
        <w:t xml:space="preserve">Оплату </w:t>
      </w:r>
      <w:proofErr w:type="spellStart"/>
      <w:r>
        <w:t>оргвзноса</w:t>
      </w:r>
      <w:proofErr w:type="spellEnd"/>
      <w:r>
        <w:t xml:space="preserve"> и командировочных расходов участников конференции и школы молодых ученых производит направляющая организация, либо сам участник. Оргкомитет никакие расходы участников не компенсирует.</w:t>
      </w:r>
    </w:p>
    <w:p w:rsidR="00FF55F2" w:rsidRDefault="00FF55F2" w:rsidP="00FF55F2">
      <w:r>
        <w:t xml:space="preserve">Сумму </w:t>
      </w:r>
      <w:proofErr w:type="spellStart"/>
      <w:r>
        <w:t>оргвзноса</w:t>
      </w:r>
      <w:proofErr w:type="spellEnd"/>
      <w:r>
        <w:t xml:space="preserve"> рассчитывает сам участник, исходя из программы участия в конференции и школе молодых ученых по инструкции в заявке. Один участник может опубликовать не более двух статей. При публикации одним автором (или коллективом авторов) двух статей оплата публикации производится по каждой статье отдельно. Оплата </w:t>
      </w:r>
      <w:proofErr w:type="spellStart"/>
      <w:r>
        <w:t>оргвзноса</w:t>
      </w:r>
      <w:proofErr w:type="spellEnd"/>
      <w:r>
        <w:t xml:space="preserve"> производится по каждому участнику отдельно, даже если они являются соавторами одной статьи. При этом заявка направляется по каждому участнику, а оплата статьи оформляется лишь в заявке первого соавтора.</w:t>
      </w:r>
    </w:p>
    <w:p w:rsidR="00FF55F2" w:rsidRDefault="00FF55F2" w:rsidP="00FF55F2">
      <w:r>
        <w:t xml:space="preserve">Участникам следует самостоятельно позаботиться о приобретении билетов на проезд в Волгоград и обратно. </w:t>
      </w:r>
      <w:proofErr w:type="spellStart"/>
      <w:r>
        <w:t>Оркомитет</w:t>
      </w:r>
      <w:proofErr w:type="spellEnd"/>
      <w:r>
        <w:t xml:space="preserve"> приобретением билетов не занимается.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>Проживание</w:t>
      </w:r>
    </w:p>
    <w:p w:rsidR="00FF55F2" w:rsidRDefault="00FF55F2" w:rsidP="00FF55F2">
      <w:r>
        <w:rPr>
          <w:i/>
          <w:iCs/>
        </w:rPr>
        <w:t>С 28 по 30 сентября и с 3 по 4 октября</w:t>
      </w:r>
      <w:r>
        <w:t xml:space="preserve"> по заявке участника оргкомитет бронирует места в общежитии повышенной комфортности «Уют» ВГСПУ, санатории-профилактории ВГСПУ или студенческом общежитии ВГСПУ. </w:t>
      </w:r>
    </w:p>
    <w:p w:rsidR="00FF55F2" w:rsidRDefault="00FF55F2" w:rsidP="00FF55F2">
      <w:proofErr w:type="gramStart"/>
      <w:r>
        <w:t xml:space="preserve">Стоимость проживания </w:t>
      </w:r>
      <w:r>
        <w:rPr>
          <w:i/>
          <w:iCs/>
        </w:rPr>
        <w:t>в общежитии повышенной комфортности «Уют»</w:t>
      </w:r>
      <w:r>
        <w:t xml:space="preserve"> (со всеми удобствами, без питания, ост.</w:t>
      </w:r>
      <w:proofErr w:type="gramEnd"/>
      <w:r>
        <w:t xml:space="preserve"> </w:t>
      </w:r>
      <w:proofErr w:type="gramStart"/>
      <w:r>
        <w:t xml:space="preserve">«Мамаев Курган»; </w:t>
      </w:r>
      <w:hyperlink r:id="rId10" w:history="1">
        <w:r>
          <w:rPr>
            <w:rStyle w:val="a4"/>
          </w:rPr>
          <w:t>http://www.otels.ru/4649.htm</w:t>
        </w:r>
      </w:hyperlink>
      <w:r>
        <w:t>, 10-15 мин. общественным транспортом до ВГСПУ):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4"/>
        <w:gridCol w:w="1371"/>
        <w:gridCol w:w="6966"/>
      </w:tblGrid>
      <w:tr w:rsidR="00FF55F2" w:rsidTr="00FF55F2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номера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br/>
              <w:t>за номер в сутки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FF55F2" w:rsidTr="00FF55F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2-комн. </w:t>
            </w:r>
            <w:r>
              <w:rPr>
                <w:sz w:val="24"/>
                <w:szCs w:val="24"/>
              </w:rPr>
              <w:br/>
              <w:t>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руб.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одной комнате (спальня) одна двуспальная кровать, в другой (кухня, прихожая) – раскладной диван.</w:t>
            </w:r>
          </w:p>
        </w:tc>
      </w:tr>
      <w:tr w:rsidR="00FF55F2" w:rsidTr="00FF55F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2-комн. </w:t>
            </w:r>
            <w:r>
              <w:rPr>
                <w:sz w:val="24"/>
                <w:szCs w:val="24"/>
              </w:rPr>
              <w:br/>
              <w:t>люкс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руб.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одной комнате две отдельные кровати (спальня), в другой (кухня, прихожая) – раскладной диван.</w:t>
            </w:r>
          </w:p>
        </w:tc>
      </w:tr>
      <w:tr w:rsidR="00FF55F2" w:rsidTr="00FF55F2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1-комн. </w:t>
            </w:r>
            <w:r>
              <w:rPr>
                <w:sz w:val="24"/>
                <w:szCs w:val="24"/>
              </w:rPr>
              <w:br/>
              <w:t>стандарт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2" w:rsidRDefault="00FF55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отдельные кровати</w:t>
            </w:r>
          </w:p>
        </w:tc>
      </w:tr>
    </w:tbl>
    <w:p w:rsidR="00FF55F2" w:rsidRDefault="00FF55F2" w:rsidP="00FF55F2">
      <w:r>
        <w:rPr>
          <w:i/>
          <w:iCs/>
        </w:rPr>
        <w:t>В санатории-профилактории</w:t>
      </w:r>
      <w:r>
        <w:t xml:space="preserve"> (две односпальные кровати, однокомнатный номер, коридорного типа) – стоимость 300 руб./чел. в сутки (без питания, в одном квартале от ВГСПУ).</w:t>
      </w:r>
    </w:p>
    <w:p w:rsidR="00FF55F2" w:rsidRDefault="00FF55F2" w:rsidP="00FF55F2">
      <w:r>
        <w:rPr>
          <w:i/>
          <w:iCs/>
        </w:rPr>
        <w:t xml:space="preserve">В студенческом </w:t>
      </w:r>
      <w:proofErr w:type="gramStart"/>
      <w:r>
        <w:rPr>
          <w:i/>
          <w:iCs/>
        </w:rPr>
        <w:t>общежитии</w:t>
      </w:r>
      <w:proofErr w:type="gramEnd"/>
      <w:r>
        <w:t xml:space="preserve"> (две-три односпальные кровати, однокомнатный номер, секционного типа) – стоимость 70-100 руб./чел. в сутки (без питания).</w:t>
      </w:r>
    </w:p>
    <w:p w:rsidR="00FF55F2" w:rsidRDefault="00FF55F2" w:rsidP="00FF55F2">
      <w:r>
        <w:t xml:space="preserve">По желанию, участник может самостоятельно забронировать себе номер в другой гостинице Волгограда. Однако </w:t>
      </w:r>
      <w:proofErr w:type="spellStart"/>
      <w:r>
        <w:t>трансфер</w:t>
      </w:r>
      <w:proofErr w:type="spellEnd"/>
      <w:r>
        <w:t xml:space="preserve"> участников к месту проведения конференции организуется только от общежитий и санатория-профилактория ВГСПУ.</w:t>
      </w:r>
    </w:p>
    <w:p w:rsidR="00FF55F2" w:rsidRDefault="00FF55F2" w:rsidP="00FF55F2">
      <w:r>
        <w:rPr>
          <w:i/>
          <w:iCs/>
        </w:rPr>
        <w:lastRenderedPageBreak/>
        <w:t>С 30 сентября по 3 октября</w:t>
      </w:r>
      <w:r>
        <w:t xml:space="preserve"> занятия школы молодых ученых проходят на загородной базе учебно-оздоровительного комплекса ВГСПУ «Марафон» (коттеджи со всеми удобствами в лесном массиве на берегу р. Ахтуба, 25 мин. от центра города) – стоимость 1070 руб./чел. в сутки (комфортабельные домики с комнатами на 2-3 чел., с трехразовым питанием).</w:t>
      </w:r>
    </w:p>
    <w:p w:rsidR="00FF55F2" w:rsidRDefault="00FF55F2" w:rsidP="00FF55F2">
      <w:r>
        <w:t xml:space="preserve">По желанию участника, оплата проживания в общежитиях ВГСПУ и на загородной базе учебно-оздоровительного комплекса ВГСПУ «Марафон» на время участия в конференции и школе молодых ученых может быть включена в </w:t>
      </w:r>
      <w:proofErr w:type="spellStart"/>
      <w:r>
        <w:t>оргвзнос</w:t>
      </w:r>
      <w:proofErr w:type="spellEnd"/>
      <w:r>
        <w:t xml:space="preserve">. Для этого участник должен </w:t>
      </w:r>
      <w:proofErr w:type="gramStart"/>
      <w:r>
        <w:t>указать о</w:t>
      </w:r>
      <w:proofErr w:type="gramEnd"/>
      <w:r>
        <w:t xml:space="preserve"> своем желании в заявке, указав дату и ориентировочное время заезда и отъезда. Оргкомитет вышлет ему счет и реквизиты для оплаты.</w:t>
      </w:r>
    </w:p>
    <w:p w:rsidR="00FF55F2" w:rsidRDefault="00FF55F2" w:rsidP="00FF55F2">
      <w:pPr>
        <w:pStyle w:val="2"/>
        <w:rPr>
          <w:rFonts w:eastAsia="Times New Roman"/>
        </w:rPr>
      </w:pPr>
      <w:r>
        <w:rPr>
          <w:rFonts w:eastAsia="Times New Roman"/>
          <w:lang/>
        </w:rPr>
        <w:t xml:space="preserve">Способы оплаты </w:t>
      </w:r>
      <w:proofErr w:type="spellStart"/>
      <w:r>
        <w:rPr>
          <w:rFonts w:eastAsia="Times New Roman"/>
          <w:lang/>
        </w:rPr>
        <w:t>оргвзноса</w:t>
      </w:r>
      <w:proofErr w:type="spellEnd"/>
    </w:p>
    <w:p w:rsidR="00FF55F2" w:rsidRDefault="00FF55F2" w:rsidP="00FF55F2">
      <w:proofErr w:type="spellStart"/>
      <w:r>
        <w:t>Оргвзнос</w:t>
      </w:r>
      <w:proofErr w:type="spellEnd"/>
      <w:r>
        <w:t xml:space="preserve"> оплачивается электронным платежом на </w:t>
      </w:r>
      <w:hyperlink r:id="rId11" w:history="1">
        <w:r>
          <w:rPr>
            <w:rStyle w:val="a4"/>
          </w:rPr>
          <w:t>http://pay.vspu.ru</w:t>
        </w:r>
      </w:hyperlink>
      <w:r>
        <w:t xml:space="preserve"> (с 1 июля 2015 г.) или банковским переводом по реквизитам: </w:t>
      </w:r>
    </w:p>
    <w:p w:rsidR="00FF55F2" w:rsidRDefault="00FF55F2" w:rsidP="00FF55F2">
      <w:r>
        <w:t xml:space="preserve">400066, г. Волгоград, </w:t>
      </w:r>
      <w:proofErr w:type="spellStart"/>
      <w:r>
        <w:t>пр-кт</w:t>
      </w:r>
      <w:proofErr w:type="spellEnd"/>
      <w:r>
        <w:t xml:space="preserve"> Ленина, </w:t>
      </w:r>
      <w:proofErr w:type="spellStart"/>
      <w:r>
        <w:t>д</w:t>
      </w:r>
      <w:proofErr w:type="spellEnd"/>
      <w:r>
        <w:t xml:space="preserve"> 27</w:t>
      </w:r>
    </w:p>
    <w:p w:rsidR="00FF55F2" w:rsidRDefault="00FF55F2" w:rsidP="00FF55F2">
      <w:r>
        <w:t>ИНН 3444049187 КПП344401001</w:t>
      </w:r>
    </w:p>
    <w:p w:rsidR="00FF55F2" w:rsidRDefault="00FF55F2" w:rsidP="00FF55F2">
      <w:r>
        <w:t xml:space="preserve">УФК по Волгоградской области </w:t>
      </w:r>
    </w:p>
    <w:p w:rsidR="00FF55F2" w:rsidRDefault="00FF55F2" w:rsidP="00FF55F2">
      <w:pPr>
        <w:rPr>
          <w:sz w:val="24"/>
          <w:szCs w:val="24"/>
        </w:rPr>
      </w:pPr>
      <w:r>
        <w:rPr>
          <w:sz w:val="24"/>
          <w:szCs w:val="24"/>
        </w:rPr>
        <w:t>(ФГБОУ ВПО «ВГСПУ» л/с 20296Х13920)</w:t>
      </w:r>
    </w:p>
    <w:p w:rsidR="00FF55F2" w:rsidRDefault="00FF55F2" w:rsidP="00FF55F2">
      <w:proofErr w:type="spellStart"/>
      <w:proofErr w:type="gramStart"/>
      <w:r>
        <w:t>р</w:t>
      </w:r>
      <w:proofErr w:type="spellEnd"/>
      <w:proofErr w:type="gramEnd"/>
      <w:r>
        <w:t>/с № 40501810100002000002</w:t>
      </w:r>
    </w:p>
    <w:p w:rsidR="00FF55F2" w:rsidRDefault="00FF55F2" w:rsidP="00FF55F2">
      <w:pPr>
        <w:rPr>
          <w:sz w:val="24"/>
          <w:szCs w:val="24"/>
        </w:rPr>
      </w:pPr>
      <w:r>
        <w:t>Отделение Волгоград</w:t>
      </w:r>
    </w:p>
    <w:p w:rsidR="00FF55F2" w:rsidRDefault="00FF55F2" w:rsidP="00FF55F2">
      <w:r>
        <w:t>БИК 041806001</w:t>
      </w:r>
    </w:p>
    <w:p w:rsidR="00FF55F2" w:rsidRDefault="00FF55F2" w:rsidP="00FF55F2">
      <w:pPr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КБК 00000000000000000130</w:t>
      </w:r>
    </w:p>
    <w:p w:rsidR="00FF55F2" w:rsidRDefault="00FF55F2" w:rsidP="00FF55F2">
      <w:r>
        <w:rPr>
          <w:spacing w:val="20"/>
          <w:sz w:val="22"/>
          <w:szCs w:val="22"/>
        </w:rPr>
        <w:t>(Доходы от оказания платных услуг)</w:t>
      </w:r>
    </w:p>
    <w:p w:rsidR="00FF55F2" w:rsidRDefault="00FF55F2" w:rsidP="00FF55F2">
      <w:proofErr w:type="gramStart"/>
      <w:r>
        <w:t>л</w:t>
      </w:r>
      <w:proofErr w:type="gramEnd"/>
      <w:r>
        <w:t>/с 209 за (ФИО участника)</w:t>
      </w:r>
    </w:p>
    <w:p w:rsidR="00FF55F2" w:rsidRDefault="00FF55F2" w:rsidP="00FF55F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71"/>
      </w:tblGrid>
      <w:tr w:rsidR="00FF55F2" w:rsidTr="00FF55F2">
        <w:trPr>
          <w:trHeight w:val="300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ПРИМЕР ЗАПОЛНЕНИЯ ДЛЯ оплаты через отделения СБЕРБАНКА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3444049187 КПП 344401001</w:t>
            </w:r>
          </w:p>
        </w:tc>
      </w:tr>
      <w:tr w:rsidR="00FF55F2" w:rsidTr="00FF55F2">
        <w:trPr>
          <w:trHeight w:val="255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получателя)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40501810100002000002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УФК по Волгоградской области (ФГБОУ ВПО "ВГСПУ" л/с 20296Х13920)</w:t>
            </w:r>
          </w:p>
        </w:tc>
      </w:tr>
      <w:tr w:rsidR="00FF55F2" w:rsidTr="00FF55F2">
        <w:trPr>
          <w:trHeight w:val="255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Отделение Волгоград  </w:t>
            </w:r>
          </w:p>
        </w:tc>
      </w:tr>
      <w:tr w:rsidR="00FF55F2" w:rsidTr="00FF55F2">
        <w:trPr>
          <w:trHeight w:val="255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и банковские реквизиты)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 041806001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00000000000000000130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Доходы от оказания платных услуг </w:t>
            </w:r>
          </w:p>
        </w:tc>
      </w:tr>
      <w:tr w:rsidR="00FF55F2" w:rsidTr="00FF55F2">
        <w:trPr>
          <w:trHeight w:val="25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209 за (ФИО участника)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Оргвзнос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 участие в конференции и школе молодых ученых,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сент-окт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2015 г.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 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                               </w:t>
            </w:r>
            <w:r>
              <w:rPr>
                <w:rFonts w:ascii="Arial" w:hAnsi="Arial" w:cs="Arial"/>
                <w:sz w:val="24"/>
                <w:szCs w:val="24"/>
              </w:rPr>
              <w:t xml:space="preserve"> Сумма 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                            </w:t>
            </w:r>
            <w:r>
              <w:rPr>
                <w:rFonts w:ascii="Arial" w:hAnsi="Arial" w:cs="Arial"/>
                <w:sz w:val="24"/>
                <w:szCs w:val="24"/>
              </w:rPr>
              <w:t>  руб.                 коп.</w:t>
            </w:r>
          </w:p>
        </w:tc>
      </w:tr>
      <w:tr w:rsidR="00FF55F2" w:rsidTr="00FF55F2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F55F2" w:rsidTr="00FF55F2">
        <w:trPr>
          <w:trHeight w:val="255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(сумма прописью)</w:t>
            </w:r>
          </w:p>
        </w:tc>
      </w:tr>
      <w:tr w:rsidR="00FF55F2" w:rsidTr="00FF55F2">
        <w:trPr>
          <w:trHeight w:val="300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Плательщик (подпись)_____________________________________</w:t>
            </w:r>
          </w:p>
        </w:tc>
      </w:tr>
      <w:tr w:rsidR="00FF55F2" w:rsidTr="00FF55F2">
        <w:trPr>
          <w:trHeight w:val="255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(с комиссией, в лицевом счете Х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латинская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F55F2" w:rsidTr="00FF55F2">
        <w:trPr>
          <w:trHeight w:val="255"/>
        </w:trPr>
        <w:tc>
          <w:tcPr>
            <w:tcW w:w="50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55F2" w:rsidRDefault="00FF55F2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ОКТМО 18701000</w:t>
            </w:r>
          </w:p>
        </w:tc>
      </w:tr>
    </w:tbl>
    <w:p w:rsidR="00FF55F2" w:rsidRDefault="00FF55F2" w:rsidP="00FF55F2"/>
    <w:p w:rsidR="00FF55F2" w:rsidRDefault="00FF55F2" w:rsidP="00FF55F2">
      <w:r>
        <w:t xml:space="preserve">Возможна оплата </w:t>
      </w:r>
      <w:proofErr w:type="spellStart"/>
      <w:r>
        <w:t>оргвзноса</w:t>
      </w:r>
      <w:proofErr w:type="spellEnd"/>
      <w:r>
        <w:t xml:space="preserve"> со счета организации. Для этого автору одновременно с текстом доклада и сведениями об авторе необходимо в </w:t>
      </w:r>
      <w:r>
        <w:lastRenderedPageBreak/>
        <w:t xml:space="preserve">заявке на участие запросить договор, который оргкомитет высылает в трехдневный срок. Договор заполняется в бухгалтерии организации-плательщика и высылается текстовым файлом на адрес оргкомитета. Если представленные реквизиты удовлетворяют установленным требованиям, тогда документы на оплату (договор, счет, счет-фактура, акт сдачи-приемки выполненных работ) распечатываются, подписываются (ставятся печати) и направляются автору простым письмом на адрес, указанный им как «почтовый адрес» в сведениях об авторе. После получения письма автор представляет документы на подпись руководителю организации (либо в бухгалтерию), после чего организация производит оплату, а автор в оргкомитет </w:t>
      </w:r>
      <w:proofErr w:type="spellStart"/>
      <w:proofErr w:type="gramStart"/>
      <w:r>
        <w:t>скан-копии</w:t>
      </w:r>
      <w:proofErr w:type="spellEnd"/>
      <w:proofErr w:type="gramEnd"/>
      <w:r>
        <w:t xml:space="preserve"> договора, копии платежного поручения и акта сдачи-приемки выполненных работ с печатью и подписью руководителя организации-плательщика. Оригиналы документов автор привозит лично или направляет простым письмом в адрес оргкомитета.</w:t>
      </w:r>
    </w:p>
    <w:p w:rsidR="00FF55F2" w:rsidRDefault="00FF55F2" w:rsidP="00FF55F2">
      <w:pPr>
        <w:jc w:val="right"/>
        <w:rPr>
          <w:i/>
          <w:iCs/>
        </w:rPr>
      </w:pPr>
      <w:r>
        <w:rPr>
          <w:i/>
          <w:iCs/>
        </w:rPr>
        <w:t>Приложение</w:t>
      </w:r>
    </w:p>
    <w:p w:rsidR="00FF55F2" w:rsidRDefault="00FF55F2" w:rsidP="00FF55F2">
      <w:pPr>
        <w:pStyle w:val="3"/>
        <w:rPr>
          <w:rFonts w:eastAsia="Times New Roman"/>
        </w:rPr>
      </w:pPr>
      <w:r>
        <w:rPr>
          <w:rFonts w:eastAsia="Times New Roman"/>
          <w:lang/>
        </w:rPr>
        <w:t xml:space="preserve">Заявка на участие в международной </w:t>
      </w:r>
      <w:r>
        <w:rPr>
          <w:rFonts w:eastAsia="Times New Roman"/>
          <w:lang/>
        </w:rPr>
        <w:br/>
        <w:t xml:space="preserve">научной конференции и школе молодых ученых </w:t>
      </w:r>
      <w:r>
        <w:rPr>
          <w:rFonts w:eastAsia="Times New Roman"/>
          <w:lang/>
        </w:rPr>
        <w:br/>
        <w:t>«ПЕДАГОГИКА В ПРОСТРАНСТВЕ СОЦИАЛЬНЫХ И АНТРОПОЛОГИЧЕСКИХ НАУК»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9"/>
        <w:gridCol w:w="1187"/>
        <w:gridCol w:w="402"/>
        <w:gridCol w:w="4533"/>
      </w:tblGrid>
      <w:tr w:rsidR="00FF55F2" w:rsidTr="00FF55F2">
        <w:trPr>
          <w:trHeight w:val="454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Сведения об участнике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ФИО (полностью)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Иванов Иван Иванович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Дата рождения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15.06.1969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proofErr w:type="spellStart"/>
            <w:r>
              <w:t>Уч</w:t>
            </w:r>
            <w:proofErr w:type="spellEnd"/>
            <w:r>
              <w:t xml:space="preserve">. степень, </w:t>
            </w:r>
            <w:proofErr w:type="spellStart"/>
            <w:r>
              <w:t>уч</w:t>
            </w:r>
            <w:proofErr w:type="spellEnd"/>
            <w:r>
              <w:t>. звание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канд. психол. наук, доцент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Заголовок статьи (тезисов)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Классификация психологических новообразований в подростковом возрасте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 xml:space="preserve">Соавторы (ФИО полностью, </w:t>
            </w:r>
            <w:proofErr w:type="spellStart"/>
            <w:r>
              <w:t>уч</w:t>
            </w:r>
            <w:proofErr w:type="spellEnd"/>
            <w:r>
              <w:t xml:space="preserve">. степени, </w:t>
            </w:r>
            <w:proofErr w:type="spellStart"/>
            <w:r>
              <w:t>уч</w:t>
            </w:r>
            <w:proofErr w:type="spellEnd"/>
            <w:r>
              <w:t>. звания)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Петров Петр Петрович, д-р психол. наук, профессор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Место работы (учебы)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Московский государственный университет им. С.С. Сидорова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Должность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Доцент кафедры психологии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Адрес электронной почты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ivanov@mail.ru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Контактные телефоны (с кодом страны и города)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 xml:space="preserve">мобильный: </w:t>
            </w:r>
            <w:r>
              <w:rPr>
                <w:lang w:val="en-US"/>
              </w:rPr>
              <w:t>+7 </w:t>
            </w:r>
            <w:r>
              <w:t>904</w:t>
            </w:r>
            <w:r>
              <w:rPr>
                <w:lang w:val="en-US"/>
              </w:rPr>
              <w:t> </w:t>
            </w:r>
            <w:r>
              <w:t xml:space="preserve">654 32 984 </w:t>
            </w:r>
          </w:p>
          <w:p w:rsidR="00FF55F2" w:rsidRDefault="00FF55F2">
            <w:pPr>
              <w:pStyle w:val="a8"/>
              <w:rPr>
                <w:lang w:val="en-US"/>
              </w:rPr>
            </w:pPr>
            <w:r>
              <w:t>домашний</w:t>
            </w:r>
            <w:r>
              <w:rPr>
                <w:lang w:val="en-US"/>
              </w:rPr>
              <w:t>: +7 495 258 14 36</w:t>
            </w:r>
          </w:p>
          <w:p w:rsidR="00FF55F2" w:rsidRDefault="00FF55F2">
            <w:pPr>
              <w:pStyle w:val="a8"/>
            </w:pPr>
            <w:r>
              <w:t>рабочий:</w:t>
            </w:r>
            <w:r>
              <w:rPr>
                <w:lang w:val="en-US"/>
              </w:rPr>
              <w:t xml:space="preserve"> +7 495 </w:t>
            </w:r>
            <w:r>
              <w:t xml:space="preserve">741 85 96 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Почтовый 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Россия, г. Москва, ул. Космонавтов, д. 56, кв. 31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555002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Сведения об участии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Очное участие в конференции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ind w:left="1110" w:hanging="1110"/>
            </w:pPr>
            <w:r>
              <w:t>ДА / НЕТ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ненужное удалить)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lastRenderedPageBreak/>
              <w:t>Публикация статьи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ind w:left="1110" w:hanging="1110"/>
            </w:pPr>
            <w:r>
              <w:t>ДА / НЕТ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ненужное удалить)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Участие в школе молодых ученых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ind w:left="1110" w:hanging="1110"/>
            </w:pPr>
            <w:r>
              <w:t>ДА / НЕТ</w:t>
            </w:r>
            <w:r>
              <w:rPr>
                <w:i/>
                <w:iCs/>
              </w:rPr>
              <w:t xml:space="preserve"> (ненужное удалить; если ДА, то нужен ли счет для предварительной оплаты проживания)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Необходимость в размещения в общежитии ВГСПУ на время конференции 28-30 сентября 2015 г. и 3-4 октября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ind w:left="1110" w:hanging="1110"/>
            </w:pPr>
            <w:r>
              <w:t>ДА / НЕТ</w:t>
            </w:r>
            <w:r>
              <w:rPr>
                <w:i/>
                <w:iCs/>
              </w:rPr>
              <w:t xml:space="preserve"> (ненужное удалить; если ДА, то какой номер и нужен ли счет для предварительной оплаты)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Сведения о статье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Имя файла-архива с материалами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rPr>
                <w:lang w:val="en-US"/>
              </w:rPr>
            </w:pPr>
            <w:r>
              <w:t>09Иванов.rar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Сведения об уплате </w:t>
            </w:r>
            <w:proofErr w:type="spellStart"/>
            <w:r>
              <w:rPr>
                <w:rFonts w:eastAsia="Times New Roman"/>
                <w:lang w:eastAsia="ru-RU"/>
              </w:rPr>
              <w:t>оргвзноса</w:t>
            </w:r>
            <w:proofErr w:type="spellEnd"/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9"/>
              <w:jc w:val="center"/>
            </w:pPr>
            <w:r>
              <w:t>Указания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Публикация статьи в электронном журнале «Грани Познания», входящем в базу РИНЦ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jc w:val="right"/>
            </w:pPr>
            <w: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 xml:space="preserve">За одну статью объемом 7 - 12 стр. </w:t>
            </w:r>
            <w:r w:rsidRPr="00FF55F2">
              <w:rPr>
                <w:lang w:val="en-US"/>
              </w:rPr>
              <w:t>(</w:t>
            </w:r>
            <w:r>
              <w:t>шрифт</w:t>
            </w:r>
            <w:r w:rsidRPr="00FF55F2">
              <w:rPr>
                <w:lang w:val="en-US"/>
              </w:rPr>
              <w:t xml:space="preserve"> </w:t>
            </w:r>
            <w:r>
              <w:rPr>
                <w:lang w:val="en-US"/>
              </w:rPr>
              <w:t>Times New Roman</w:t>
            </w:r>
            <w:r w:rsidRPr="00FF55F2">
              <w:rPr>
                <w:lang w:val="en-US"/>
              </w:rPr>
              <w:t xml:space="preserve"> 14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 w:rsidRPr="00FF55F2">
              <w:rPr>
                <w:lang w:val="en-US"/>
              </w:rPr>
              <w:t xml:space="preserve">, </w:t>
            </w:r>
            <w:r>
              <w:t>интервал</w:t>
            </w:r>
            <w:r>
              <w:rPr>
                <w:lang w:val="en-US"/>
              </w:rPr>
              <w:t> </w:t>
            </w:r>
            <w:r w:rsidRPr="00FF55F2">
              <w:rPr>
                <w:lang w:val="en-US"/>
              </w:rPr>
              <w:t xml:space="preserve">– 1,5). </w:t>
            </w:r>
            <w:r>
              <w:rPr>
                <w:b/>
                <w:bCs/>
              </w:rPr>
              <w:t>Для докторов педагогических наук публикация бесплатная.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Очное участие в конференции без участия в программе повышения квалификации 36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иногородних участников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jc w:val="right"/>
            </w:pPr>
            <w: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 xml:space="preserve">В сумму </w:t>
            </w:r>
            <w:proofErr w:type="spellStart"/>
            <w:r>
              <w:t>оргвзноса</w:t>
            </w:r>
            <w:proofErr w:type="spellEnd"/>
            <w:r>
              <w:t xml:space="preserve"> входит: очное участие в мероприятиях конференции; папка с материалами конференции; </w:t>
            </w:r>
            <w:proofErr w:type="spellStart"/>
            <w:r>
              <w:t>трансфер</w:t>
            </w:r>
            <w:proofErr w:type="spellEnd"/>
            <w:r>
              <w:t xml:space="preserve"> между местом проживания и местом проведения конференции (главный учебный корпус ВГСПУ); кофе-брейки; экскурсию по Волгограду с посещением Мамаева Кургана и музея-панорамы «Сталинградская битва»; получение сертификата участника.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Очное участие в конференции без участия в программе повышения квалификации 36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участников из Волгограда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jc w:val="right"/>
            </w:pPr>
            <w: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 xml:space="preserve">В сумму </w:t>
            </w:r>
            <w:proofErr w:type="spellStart"/>
            <w:r>
              <w:t>оргвзноса</w:t>
            </w:r>
            <w:proofErr w:type="spellEnd"/>
            <w:r>
              <w:t xml:space="preserve"> входит: очное участие в мероприятиях конференции; папка с материалами конференции; кофе-брейки; получение сертификата участника.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Участие в программе повышения квалификации 36 час</w:t>
            </w:r>
            <w:proofErr w:type="gramStart"/>
            <w:r>
              <w:t xml:space="preserve">., </w:t>
            </w:r>
            <w:proofErr w:type="gramEnd"/>
            <w:r>
              <w:t>совмещенной с конференцией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jc w:val="right"/>
            </w:pPr>
            <w:r>
              <w:t>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 xml:space="preserve">Оплачивается дополнительно к </w:t>
            </w:r>
            <w:proofErr w:type="spellStart"/>
            <w:r>
              <w:t>оргвзносу</w:t>
            </w:r>
            <w:proofErr w:type="spellEnd"/>
            <w:r>
              <w:t>. В сумму входит оплата проверки заданий, обучение в мастер-классе и консультация.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Участие в школе молодых ученых (1–3 октября) с программой повышения квалификации до 72 час.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jc w:val="right"/>
            </w:pPr>
            <w:r>
              <w:t>4 000,00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 xml:space="preserve">Оплачивается дополнительно к </w:t>
            </w:r>
            <w:proofErr w:type="spellStart"/>
            <w:r>
              <w:t>оргвзносу</w:t>
            </w:r>
            <w:proofErr w:type="spellEnd"/>
            <w:r>
              <w:t>. Участие в повышении квалификации 36 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этом случае не оплачивается. В сумму входит оплата участия в занятиях, мастер-классах, лекциях, вечерних лекциях, консультации специалистов. Не входит проживание с трехразовым питанием (1070  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за человека </w:t>
            </w:r>
            <w:proofErr w:type="spellStart"/>
            <w:r>
              <w:t>х</w:t>
            </w:r>
            <w:proofErr w:type="spellEnd"/>
            <w:r>
              <w:t xml:space="preserve"> 3 суток), которое участник оплачивает отдельно.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ИТОГО, в рублях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  <w:jc w:val="right"/>
            </w:pPr>
            <w:r>
              <w:t>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F2" w:rsidRDefault="00FF55F2">
            <w:pPr>
              <w:pStyle w:val="a8"/>
            </w:pP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lastRenderedPageBreak/>
              <w:t>Сумма прописью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Шесть тысяч рублей 00 копеек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Способ и дата оплаты, номер документа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 xml:space="preserve">Банковский перевод, Почтовый перевод, Перевод </w:t>
            </w:r>
            <w:proofErr w:type="spellStart"/>
            <w:r>
              <w:t>Western</w:t>
            </w:r>
            <w:proofErr w:type="spellEnd"/>
            <w:r>
              <w:t xml:space="preserve"> </w:t>
            </w:r>
            <w:proofErr w:type="spellStart"/>
            <w:r>
              <w:t>Union</w:t>
            </w:r>
            <w:proofErr w:type="spellEnd"/>
            <w:r>
              <w:t xml:space="preserve"> (</w:t>
            </w:r>
            <w:proofErr w:type="gramStart"/>
            <w:r>
              <w:t>ненужное</w:t>
            </w:r>
            <w:proofErr w:type="gramEnd"/>
            <w:r>
              <w:t xml:space="preserve"> удалить) от 00.00.2015, квитанция № 00000, либо оплата со счета организации: (указать, какой)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ФИО плательщика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Иванов Иван Иванович</w:t>
            </w:r>
          </w:p>
        </w:tc>
      </w:tr>
      <w:tr w:rsidR="00FF55F2" w:rsidTr="00FF55F2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5F2" w:rsidRDefault="00FF55F2">
            <w:pPr>
              <w:pStyle w:val="a8"/>
            </w:pPr>
            <w:r>
              <w:t>Откуда вы узнали о проведении конференции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5F2" w:rsidRDefault="00FF55F2">
            <w:pPr>
              <w:pStyle w:val="a8"/>
            </w:pPr>
          </w:p>
        </w:tc>
      </w:tr>
      <w:tr w:rsidR="00FF55F2" w:rsidTr="00FF55F2">
        <w:tc>
          <w:tcPr>
            <w:tcW w:w="3090" w:type="dxa"/>
            <w:vAlign w:val="center"/>
            <w:hideMark/>
          </w:tcPr>
          <w:p w:rsidR="00FF55F2" w:rsidRDefault="00FF55F2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FF55F2" w:rsidRDefault="00FF55F2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FF55F2" w:rsidRDefault="00FF55F2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35" w:type="dxa"/>
            <w:vAlign w:val="center"/>
            <w:hideMark/>
          </w:tcPr>
          <w:p w:rsidR="00FF55F2" w:rsidRDefault="00FF55F2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E01B2" w:rsidRDefault="00EE01B2"/>
    <w:sectPr w:rsidR="00EE01B2" w:rsidSect="00EE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AE75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5F2"/>
    <w:rsid w:val="00EE01B2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5F2"/>
    <w:pPr>
      <w:spacing w:after="0" w:line="240" w:lineRule="auto"/>
      <w:ind w:firstLine="375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FF55F2"/>
    <w:pPr>
      <w:keepNext/>
      <w:spacing w:before="90" w:after="135"/>
      <w:jc w:val="center"/>
      <w:outlineLvl w:val="0"/>
    </w:pPr>
    <w:rPr>
      <w:b/>
      <w:bCs/>
      <w:caps/>
      <w:kern w:val="36"/>
      <w:sz w:val="36"/>
      <w:szCs w:val="36"/>
      <w:lang/>
    </w:rPr>
  </w:style>
  <w:style w:type="paragraph" w:styleId="2">
    <w:name w:val="heading 2"/>
    <w:basedOn w:val="a0"/>
    <w:link w:val="20"/>
    <w:uiPriority w:val="9"/>
    <w:semiHidden/>
    <w:unhideWhenUsed/>
    <w:qFormat/>
    <w:rsid w:val="00FF55F2"/>
    <w:pPr>
      <w:keepNext/>
      <w:spacing w:before="120" w:after="60"/>
      <w:outlineLvl w:val="1"/>
    </w:pPr>
    <w:rPr>
      <w:b/>
      <w:bCs/>
      <w:lang/>
    </w:rPr>
  </w:style>
  <w:style w:type="paragraph" w:styleId="3">
    <w:name w:val="heading 3"/>
    <w:basedOn w:val="a0"/>
    <w:link w:val="30"/>
    <w:uiPriority w:val="9"/>
    <w:semiHidden/>
    <w:unhideWhenUsed/>
    <w:qFormat/>
    <w:rsid w:val="00FF55F2"/>
    <w:pPr>
      <w:keepNext/>
      <w:spacing w:before="240" w:after="60"/>
      <w:jc w:val="center"/>
      <w:outlineLvl w:val="2"/>
    </w:pPr>
    <w:rPr>
      <w:b/>
      <w:bCs/>
      <w:lang/>
    </w:rPr>
  </w:style>
  <w:style w:type="paragraph" w:styleId="4">
    <w:name w:val="heading 4"/>
    <w:basedOn w:val="a0"/>
    <w:link w:val="40"/>
    <w:uiPriority w:val="9"/>
    <w:unhideWhenUsed/>
    <w:qFormat/>
    <w:rsid w:val="00FF55F2"/>
    <w:pPr>
      <w:keepNext/>
      <w:spacing w:before="120" w:after="60"/>
      <w:jc w:val="center"/>
      <w:outlineLvl w:val="3"/>
    </w:pPr>
    <w:rPr>
      <w:b/>
      <w:bCs/>
      <w:i/>
      <w:i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55F2"/>
    <w:rPr>
      <w:rFonts w:ascii="Times New Roman" w:hAnsi="Times New Roman" w:cs="Times New Roman"/>
      <w:b/>
      <w:bCs/>
      <w:caps/>
      <w:kern w:val="36"/>
      <w:sz w:val="36"/>
      <w:szCs w:val="36"/>
      <w:lang/>
    </w:rPr>
  </w:style>
  <w:style w:type="character" w:customStyle="1" w:styleId="20">
    <w:name w:val="Заголовок 2 Знак"/>
    <w:basedOn w:val="a1"/>
    <w:link w:val="2"/>
    <w:uiPriority w:val="9"/>
    <w:semiHidden/>
    <w:rsid w:val="00FF55F2"/>
    <w:rPr>
      <w:rFonts w:ascii="Times New Roman" w:hAnsi="Times New Roman" w:cs="Times New Roman"/>
      <w:b/>
      <w:bCs/>
      <w:sz w:val="28"/>
      <w:szCs w:val="28"/>
      <w:lang/>
    </w:rPr>
  </w:style>
  <w:style w:type="character" w:customStyle="1" w:styleId="30">
    <w:name w:val="Заголовок 3 Знак"/>
    <w:basedOn w:val="a1"/>
    <w:link w:val="3"/>
    <w:uiPriority w:val="9"/>
    <w:semiHidden/>
    <w:rsid w:val="00FF55F2"/>
    <w:rPr>
      <w:rFonts w:ascii="Times New Roman" w:hAnsi="Times New Roman" w:cs="Times New Roman"/>
      <w:b/>
      <w:bCs/>
      <w:sz w:val="28"/>
      <w:szCs w:val="28"/>
      <w:lang/>
    </w:rPr>
  </w:style>
  <w:style w:type="character" w:customStyle="1" w:styleId="40">
    <w:name w:val="Заголовок 4 Знак"/>
    <w:basedOn w:val="a1"/>
    <w:link w:val="4"/>
    <w:uiPriority w:val="9"/>
    <w:rsid w:val="00FF55F2"/>
    <w:rPr>
      <w:rFonts w:ascii="Times New Roman" w:hAnsi="Times New Roman" w:cs="Times New Roman"/>
      <w:b/>
      <w:bCs/>
      <w:i/>
      <w:iCs/>
      <w:sz w:val="28"/>
      <w:szCs w:val="28"/>
      <w:lang/>
    </w:rPr>
  </w:style>
  <w:style w:type="character" w:styleId="a4">
    <w:name w:val="Hyperlink"/>
    <w:basedOn w:val="a1"/>
    <w:uiPriority w:val="99"/>
    <w:semiHidden/>
    <w:unhideWhenUsed/>
    <w:rsid w:val="00FF55F2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FF55F2"/>
    <w:pPr>
      <w:numPr>
        <w:numId w:val="1"/>
      </w:numPr>
      <w:contextualSpacing/>
    </w:pPr>
  </w:style>
  <w:style w:type="paragraph" w:styleId="a5">
    <w:name w:val="Subtitle"/>
    <w:basedOn w:val="a0"/>
    <w:link w:val="a6"/>
    <w:uiPriority w:val="99"/>
    <w:qFormat/>
    <w:rsid w:val="00FF55F2"/>
    <w:pPr>
      <w:spacing w:after="60"/>
      <w:jc w:val="center"/>
    </w:pPr>
    <w:rPr>
      <w:sz w:val="32"/>
      <w:szCs w:val="32"/>
      <w:lang/>
    </w:rPr>
  </w:style>
  <w:style w:type="character" w:customStyle="1" w:styleId="a6">
    <w:name w:val="Подзаголовок Знак"/>
    <w:basedOn w:val="a1"/>
    <w:link w:val="a5"/>
    <w:uiPriority w:val="99"/>
    <w:rsid w:val="00FF55F2"/>
    <w:rPr>
      <w:rFonts w:ascii="Times New Roman" w:hAnsi="Times New Roman" w:cs="Times New Roman"/>
      <w:sz w:val="32"/>
      <w:szCs w:val="32"/>
      <w:lang/>
    </w:rPr>
  </w:style>
  <w:style w:type="paragraph" w:customStyle="1" w:styleId="a7">
    <w:name w:val="Учредитель"/>
    <w:basedOn w:val="a0"/>
    <w:uiPriority w:val="99"/>
    <w:rsid w:val="00FF55F2"/>
    <w:pPr>
      <w:jc w:val="center"/>
    </w:pPr>
    <w:rPr>
      <w:smallCaps/>
    </w:rPr>
  </w:style>
  <w:style w:type="paragraph" w:customStyle="1" w:styleId="a8">
    <w:name w:val="Таблица"/>
    <w:basedOn w:val="a0"/>
    <w:uiPriority w:val="99"/>
    <w:rsid w:val="00FF55F2"/>
    <w:pPr>
      <w:spacing w:before="45" w:after="45" w:line="216" w:lineRule="auto"/>
      <w:ind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0"/>
    <w:uiPriority w:val="99"/>
    <w:rsid w:val="00FF55F2"/>
    <w:pPr>
      <w:spacing w:before="45" w:after="45" w:line="216" w:lineRule="auto"/>
      <w:ind w:firstLine="0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2015.vnocra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f.2015.vnocra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pu.org/node/8166" TargetMode="External"/><Relationship Id="rId11" Type="http://schemas.openxmlformats.org/officeDocument/2006/relationships/hyperlink" Target="http://pay.vspu.ru" TargetMode="External"/><Relationship Id="rId5" Type="http://schemas.openxmlformats.org/officeDocument/2006/relationships/hyperlink" Target="http://vgpu.org/fpk" TargetMode="External"/><Relationship Id="rId10" Type="http://schemas.openxmlformats.org/officeDocument/2006/relationships/hyperlink" Target="http://www.otels.ru/46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i.vspu.ru/page/tr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2015-06-19T16:38:00Z</dcterms:created>
  <dcterms:modified xsi:type="dcterms:W3CDTF">2015-06-19T16:39:00Z</dcterms:modified>
</cp:coreProperties>
</file>